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1327FDFB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90F82">
              <w:rPr>
                <w:b/>
                <w:sz w:val="28"/>
                <w:szCs w:val="28"/>
              </w:rPr>
              <w:t xml:space="preserve"> for UPS3 Leader   Updated 11.4.2019</w:t>
            </w:r>
          </w:p>
        </w:tc>
      </w:tr>
      <w:tr w:rsidR="00E55FD7" w14:paraId="789339D9" w14:textId="77777777" w:rsidTr="00E55FD7">
        <w:tc>
          <w:tcPr>
            <w:tcW w:w="10914" w:type="dxa"/>
            <w:gridSpan w:val="4"/>
            <w:shd w:val="clear" w:color="auto" w:fill="auto"/>
          </w:tcPr>
          <w:p w14:paraId="7472F0F7" w14:textId="73E0720D" w:rsidR="00E55FD7" w:rsidRPr="00E55FD7" w:rsidRDefault="00E55FD7" w:rsidP="009344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55FD7">
              <w:rPr>
                <w:b/>
                <w:sz w:val="20"/>
                <w:szCs w:val="20"/>
              </w:rPr>
              <w:t>We recognise that newly qualified teachers and recently qualified teachers would not have the experience to be able to demonstrat</w:t>
            </w:r>
            <w:r w:rsidR="009344D1">
              <w:rPr>
                <w:b/>
                <w:sz w:val="20"/>
                <w:szCs w:val="20"/>
              </w:rPr>
              <w:t>e many of</w:t>
            </w:r>
            <w:r w:rsidRPr="00E55FD7">
              <w:rPr>
                <w:b/>
                <w:sz w:val="20"/>
                <w:szCs w:val="20"/>
              </w:rPr>
              <w:t xml:space="preserve"> these criteria. This will be taken into account </w:t>
            </w:r>
            <w:r>
              <w:rPr>
                <w:b/>
                <w:sz w:val="20"/>
                <w:szCs w:val="20"/>
              </w:rPr>
              <w:t>with all applications submitted</w:t>
            </w:r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6346461E" w14:textId="05E665DF" w:rsidR="005E362D" w:rsidRPr="00A94FAE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</w:p>
        </w:tc>
        <w:tc>
          <w:tcPr>
            <w:tcW w:w="2562" w:type="dxa"/>
          </w:tcPr>
          <w:p w14:paraId="1190802A" w14:textId="36109F81" w:rsidR="005E362D" w:rsidRPr="00A94FAE" w:rsidRDefault="005822B5" w:rsidP="008C6E09">
            <w:r>
              <w:t>Further professional qualifications relevant to primary age children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1B0502AC" w14:textId="77777777" w:rsidR="005E362D" w:rsidRPr="00E413AB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excellent knowledge of the EYFS curriculum/the New Curriculum</w:t>
            </w:r>
          </w:p>
          <w:p w14:paraId="3EA365CD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 xml:space="preserve">A secure understanding of Assessment without Levels </w:t>
            </w:r>
          </w:p>
          <w:p w14:paraId="1AB5A51C" w14:textId="075EF5F3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>ply in the Foundation Stage/KS1/KS2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7437875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54EF9685" w14:textId="77777777" w:rsidR="00651207" w:rsidRDefault="008C6E09" w:rsidP="00651207">
            <w:pPr>
              <w:pStyle w:val="NoSpacing"/>
              <w:numPr>
                <w:ilvl w:val="0"/>
                <w:numId w:val="32"/>
              </w:numPr>
            </w:pPr>
            <w:r>
              <w:t>An interest in &amp; willingness to undertake subject leadership</w:t>
            </w:r>
            <w:r w:rsidR="00651207" w:rsidRPr="005F768F">
              <w:t xml:space="preserve"> </w:t>
            </w:r>
          </w:p>
          <w:p w14:paraId="566F804F" w14:textId="77777777" w:rsidR="00D90F82" w:rsidRDefault="00651207" w:rsidP="00D90F82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  <w:p w14:paraId="759A7734" w14:textId="2BAFCCF4" w:rsidR="00D90F82" w:rsidRPr="005F768F" w:rsidRDefault="00D90F82" w:rsidP="00D90F82">
            <w:pPr>
              <w:pStyle w:val="NoSpacing"/>
              <w:numPr>
                <w:ilvl w:val="0"/>
                <w:numId w:val="39"/>
              </w:numPr>
            </w:pPr>
            <w:r w:rsidRPr="00E413AB">
              <w:t>Proven record of effective subject</w:t>
            </w:r>
            <w:r>
              <w:t xml:space="preserve"> </w:t>
            </w:r>
            <w:r w:rsidRPr="00E413AB">
              <w:t>leadership</w:t>
            </w:r>
            <w:r>
              <w:t xml:space="preserve"> </w:t>
            </w:r>
            <w:r>
              <w:t>leading to demonstrable impact on practice &amp; standards</w:t>
            </w:r>
          </w:p>
        </w:tc>
        <w:tc>
          <w:tcPr>
            <w:tcW w:w="2562" w:type="dxa"/>
          </w:tcPr>
          <w:p w14:paraId="384964BB" w14:textId="395CF631" w:rsidR="005E362D" w:rsidRDefault="005E362D" w:rsidP="008A2E47">
            <w:pPr>
              <w:pStyle w:val="NoSpacing"/>
            </w:pPr>
            <w:r w:rsidRPr="00E413AB">
              <w:t>Teaching experience across the primary age range</w:t>
            </w:r>
            <w:r w:rsidR="00D90F82">
              <w:t>, particularly upper KS2</w:t>
            </w:r>
          </w:p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77777777" w:rsidR="0034706D" w:rsidRDefault="0034706D" w:rsidP="0034706D">
            <w:pPr>
              <w:pStyle w:val="NoSpacing"/>
            </w:pPr>
            <w:r w:rsidRPr="005F768F">
              <w:t>developments and an understanding of their</w:t>
            </w:r>
            <w:r>
              <w:t xml:space="preserve"> </w:t>
            </w:r>
            <w:r w:rsidRPr="005F768F">
              <w:t>application in a whole school context</w:t>
            </w:r>
          </w:p>
          <w:p w14:paraId="4F7A7137" w14:textId="77777777" w:rsidR="0034706D" w:rsidRDefault="0034706D" w:rsidP="008C6E09">
            <w:pPr>
              <w:pStyle w:val="NoSpacing"/>
            </w:pPr>
          </w:p>
          <w:p w14:paraId="46776E5F" w14:textId="27563CB9" w:rsidR="005E362D" w:rsidRDefault="0034706D" w:rsidP="008C6E09">
            <w:pPr>
              <w:pStyle w:val="NoSpacing"/>
            </w:pPr>
            <w:r>
              <w:t>An understanding of transition issues</w:t>
            </w: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146AB975" w14:textId="53CAC41A" w:rsidR="005E362D" w:rsidRDefault="005E362D" w:rsidP="008A2E47">
            <w:pPr>
              <w:pStyle w:val="NoSpacing"/>
            </w:pPr>
            <w:r w:rsidRPr="00E413AB">
              <w:t>Pr</w:t>
            </w:r>
            <w:r w:rsidR="00D90F82">
              <w:t>oven record of effective school improvement</w:t>
            </w:r>
            <w:r w:rsidRPr="00E413AB">
              <w:t xml:space="preserve"> leadership</w:t>
            </w:r>
            <w:r w:rsidR="00D90F82">
              <w:t xml:space="preserve"> leading to demonstrable impact on practice &amp; standards</w:t>
            </w:r>
          </w:p>
          <w:p w14:paraId="75ED1E30" w14:textId="043EE9BD" w:rsidR="0034706D" w:rsidRDefault="0034706D" w:rsidP="008A2E47">
            <w:pPr>
              <w:pStyle w:val="NoSpacing"/>
            </w:pPr>
          </w:p>
          <w:p w14:paraId="3C4E6D9C" w14:textId="1AC2C1C2" w:rsidR="005E362D" w:rsidRPr="00D90F82" w:rsidRDefault="0034706D" w:rsidP="008C6E09">
            <w:pPr>
              <w:pStyle w:val="NoSpacing"/>
              <w:rPr>
                <w:rFonts w:cstheme="minorHAnsi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as well as encouraging development, </w:t>
            </w:r>
            <w:proofErr w:type="spellStart"/>
            <w:r w:rsidRPr="00D90F82">
              <w:rPr>
                <w:rFonts w:cstheme="minorHAnsi"/>
                <w:lang w:val="en" w:eastAsia="en-GB"/>
              </w:rPr>
              <w:t>recognising</w:t>
            </w:r>
            <w:proofErr w:type="spellEnd"/>
            <w:r w:rsidRPr="00D90F82">
              <w:rPr>
                <w:rFonts w:cstheme="minorHAnsi"/>
                <w:lang w:val="en" w:eastAsia="en-GB"/>
              </w:rPr>
              <w:t xml:space="preserve"> achievement and tackling underperformance.</w:t>
            </w: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77777777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Extensive knowledge and well-informed understanding of the assessment requirements and arrangements for the curriculum areas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lastRenderedPageBreak/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40AC2091" w14:textId="3AA75F82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minibus driver qualification</w:t>
            </w:r>
          </w:p>
          <w:p w14:paraId="4207C868" w14:textId="3FA010E1" w:rsidR="00E55FD7" w:rsidRDefault="00E55FD7" w:rsidP="00651207">
            <w:pPr>
              <w:rPr>
                <w:rFonts w:cstheme="minorHAnsi"/>
              </w:rPr>
            </w:pPr>
          </w:p>
          <w:p w14:paraId="7AB44C12" w14:textId="2BB70AC8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qualification to teach swimming</w:t>
            </w: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1F70C54E" w14:textId="4FF49D44" w:rsidR="00966C57" w:rsidRPr="00E413AB" w:rsidRDefault="00966C5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Ability to play a musical instrument </w:t>
            </w:r>
          </w:p>
          <w:p w14:paraId="6B666C6F" w14:textId="39BBFC2E" w:rsidR="005E362D" w:rsidRPr="00A94FAE" w:rsidRDefault="005E362D" w:rsidP="008C6E09"/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lastRenderedPageBreak/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supporting a</w:t>
            </w:r>
            <w:r w:rsidR="00651207" w:rsidRPr="00E413AB">
              <w:rPr>
                <w:rFonts w:cstheme="minorHAnsi"/>
              </w:rPr>
              <w:t>n enriched curriculum through out-of-hours learning, educational 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6097A890" w:rsidR="00651207" w:rsidRPr="008A2E47" w:rsidRDefault="0065120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 xml:space="preserve"> </w:t>
            </w:r>
            <w:r w:rsidR="008A2E47"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3D50764F" w14:textId="7AB8F82F" w:rsidR="008A2E47" w:rsidRDefault="008A2E4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14:paraId="53D7A737" w14:textId="51F8A608" w:rsidR="008C6E09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8C6E09" w:rsidRPr="008A2E47">
              <w:rPr>
                <w:rFonts w:cstheme="minorHAnsi"/>
              </w:rPr>
              <w:t>ood sense of humour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>
      <w:bookmarkStart w:id="0" w:name="_GoBack"/>
      <w:bookmarkEnd w:id="0"/>
    </w:p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0F87" w14:textId="00C085BC" w:rsidR="006F655C" w:rsidRDefault="00D90F82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2241EA"/>
    <w:rsid w:val="00231FBD"/>
    <w:rsid w:val="0026261F"/>
    <w:rsid w:val="002A6867"/>
    <w:rsid w:val="002F77BB"/>
    <w:rsid w:val="0034706D"/>
    <w:rsid w:val="00356A30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D51571"/>
    <w:rsid w:val="00D90F82"/>
    <w:rsid w:val="00D95E25"/>
    <w:rsid w:val="00DC56FB"/>
    <w:rsid w:val="00DD7E5F"/>
    <w:rsid w:val="00E019DC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363F9-6433-477C-8965-936EE16C7E8B}">
  <ds:schemaRefs>
    <ds:schemaRef ds:uri="http://purl.org/dc/elements/1.1/"/>
    <ds:schemaRef ds:uri="http://schemas.openxmlformats.org/package/2006/metadata/core-properties"/>
    <ds:schemaRef ds:uri="7c8aec4f-a042-4149-a88e-60b17e1768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Helen Giblett</cp:lastModifiedBy>
  <cp:revision>17</cp:revision>
  <cp:lastPrinted>2017-04-18T12:49:00Z</cp:lastPrinted>
  <dcterms:created xsi:type="dcterms:W3CDTF">2017-01-30T11:45:00Z</dcterms:created>
  <dcterms:modified xsi:type="dcterms:W3CDTF">2019-04-11T11:33:00Z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